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B162B" w14:textId="77777777" w:rsidR="002125A8" w:rsidRDefault="002125A8">
      <w:r w:rsidRPr="002125A8">
        <w:t xml:space="preserve">- Complete todos los campos entre corchetes [] con la información real de las entidades involucradas para obtener un output personalizado. </w:t>
      </w:r>
    </w:p>
    <w:p w14:paraId="02A03869" w14:textId="77777777" w:rsidR="002125A8" w:rsidRDefault="002125A8">
      <w:r w:rsidRPr="002125A8">
        <w:t xml:space="preserve">- Solicite al modelo que desglose la sección de 'Due </w:t>
      </w:r>
      <w:proofErr w:type="spellStart"/>
      <w:r w:rsidRPr="002125A8">
        <w:t>Diligence</w:t>
      </w:r>
      <w:proofErr w:type="spellEnd"/>
      <w:r w:rsidRPr="002125A8">
        <w:t>' en una lista de verificación (</w:t>
      </w:r>
      <w:proofErr w:type="spellStart"/>
      <w:r w:rsidRPr="002125A8">
        <w:t>checklist</w:t>
      </w:r>
      <w:proofErr w:type="spellEnd"/>
      <w:r w:rsidRPr="002125A8">
        <w:t xml:space="preserve">) detallada para cada área contable. </w:t>
      </w:r>
    </w:p>
    <w:p w14:paraId="4B3431AC" w14:textId="77777777" w:rsidR="002125A8" w:rsidRDefault="002125A8">
      <w:r w:rsidRPr="002125A8">
        <w:t xml:space="preserve">- Pida una simulación de los estados financieros consolidados Pro-Forma basados en los datos de valoración proporcionados. </w:t>
      </w:r>
    </w:p>
    <w:p w14:paraId="58284DE4" w14:textId="77777777" w:rsidR="002125A8" w:rsidRDefault="002125A8">
      <w:r w:rsidRPr="002125A8">
        <w:t xml:space="preserve">- Utilice el protocolo como base para presentaciones ante juntas directivas o comités de inversión. </w:t>
      </w:r>
    </w:p>
    <w:p w14:paraId="7C4D7A00" w14:textId="2C6274D1" w:rsidR="009A2238" w:rsidRDefault="002125A8">
      <w:pPr>
        <w:pBdr>
          <w:bottom w:val="single" w:sz="6" w:space="1" w:color="auto"/>
        </w:pBdr>
      </w:pPr>
      <w:r w:rsidRPr="002125A8">
        <w:t>- Asegúrese de revisar la sección de cumplimiento legal con sus asesores jurídicos locales para adaptar los términos a la jurisdicción específica.</w:t>
      </w:r>
    </w:p>
    <w:p w14:paraId="30BB6835" w14:textId="77777777" w:rsidR="002125A8" w:rsidRDefault="002125A8"/>
    <w:p w14:paraId="3F2B4BB3" w14:textId="3E0C059F" w:rsidR="002125A8" w:rsidRDefault="002125A8">
      <w:proofErr w:type="spellStart"/>
      <w:r>
        <w:t>Prompt</w:t>
      </w:r>
      <w:proofErr w:type="spellEnd"/>
      <w:r>
        <w:t>:</w:t>
      </w:r>
    </w:p>
    <w:p w14:paraId="3D53B3F3" w14:textId="77777777" w:rsidR="002125A8" w:rsidRDefault="002125A8"/>
    <w:p w14:paraId="3C606289" w14:textId="77777777" w:rsidR="002125A8" w:rsidRDefault="002125A8" w:rsidP="002125A8">
      <w:r>
        <w:t>Actúa como un Consultor Senior especializado en Fusiones y Adquisiciones (M&amp;A) con amplia experiencia en estrategia financiera y contabilidad forense. Tu misión es diseñar un 'Protocolo de fusiones corporativas' exhaustivo y técnico para la integración estratégica entre [Nombre de la Empresa Absorbente] y [Nombre de la Empresa Absorbida], ambas pertenecientes al sector de [Sector Industrial]. El documento debe servir como la hoja de ruta definitiva para los departamentos contables, legales y de finanzas corporativas, asegurando una transición fluida y el cumplimiento de los [Objetivos Estratégicos] definidos por la alta dirección.</w:t>
      </w:r>
    </w:p>
    <w:p w14:paraId="58B1025A" w14:textId="77777777" w:rsidR="002125A8" w:rsidRDefault="002125A8" w:rsidP="002125A8"/>
    <w:p w14:paraId="19B415B5" w14:textId="77777777" w:rsidR="002125A8" w:rsidRDefault="002125A8" w:rsidP="002125A8"/>
    <w:p w14:paraId="2CB18085" w14:textId="77777777" w:rsidR="002125A8" w:rsidRDefault="002125A8" w:rsidP="002125A8">
      <w:r>
        <w:t xml:space="preserve">El protocolo debe iniciar con una fase rigurosa de 'Due </w:t>
      </w:r>
      <w:proofErr w:type="spellStart"/>
      <w:r>
        <w:t>Diligence</w:t>
      </w:r>
      <w:proofErr w:type="spellEnd"/>
      <w:r>
        <w:t>' integral. Detalla los procedimientos para auditar los estados financieros de los últimos cinco ejercicios, analizando la calidad de los beneficios (</w:t>
      </w:r>
      <w:proofErr w:type="spellStart"/>
      <w:r>
        <w:t>Quality</w:t>
      </w:r>
      <w:proofErr w:type="spellEnd"/>
      <w:r>
        <w:t xml:space="preserve"> </w:t>
      </w:r>
      <w:proofErr w:type="spellStart"/>
      <w:r>
        <w:t>of</w:t>
      </w:r>
      <w:proofErr w:type="spellEnd"/>
      <w:r>
        <w:t xml:space="preserve"> </w:t>
      </w:r>
      <w:proofErr w:type="spellStart"/>
      <w:r>
        <w:t>Earnings</w:t>
      </w:r>
      <w:proofErr w:type="spellEnd"/>
      <w:r>
        <w:t>), la identificación de pasivos contingentes, compromisos fuera de balance y la revisión de la situación fiscal para evitar sorpresas tras el cierre. Es imperativo que incluyas un análisis de valoración técnica utilizando métodos mixtos como el Descuento de Flujos de Caja (DCF) ajustado por riesgo y la valoración por múltiplos comparables de mercado, tomando como referencia el [Monto Estimado de la Operación].</w:t>
      </w:r>
    </w:p>
    <w:p w14:paraId="309C37E6" w14:textId="77777777" w:rsidR="002125A8" w:rsidRDefault="002125A8" w:rsidP="002125A8"/>
    <w:p w14:paraId="74193444" w14:textId="77777777" w:rsidR="002125A8" w:rsidRDefault="002125A8" w:rsidP="002125A8"/>
    <w:p w14:paraId="05F6FA03" w14:textId="77777777" w:rsidR="002125A8" w:rsidRDefault="002125A8" w:rsidP="002125A8">
      <w:r>
        <w:lastRenderedPageBreak/>
        <w:t>En el bloque de Estructuración Técnica, define el tratamiento contable de la combinación de negocios bajo normativas NIIF 3 o equivalentes locales. Debes explicar detalladamente el proceso de reconocimiento de activos identificables y pasivos asumidos a su valor razonable, el cálculo del fondo de comercio (Goodwill) o, en su caso, la ganancia por compra en condiciones muy ventajosas. Incluye un esquema para el canje de acciones, la gestión de las reservas de capital y la política de dividendos transitoria durante el proceso de fusión, asegurando que la estructura de capital resultante sea óptima para el crecimiento futuro.</w:t>
      </w:r>
    </w:p>
    <w:p w14:paraId="6EE1E861" w14:textId="77777777" w:rsidR="002125A8" w:rsidRDefault="002125A8" w:rsidP="002125A8"/>
    <w:p w14:paraId="6B9CC048" w14:textId="77777777" w:rsidR="002125A8" w:rsidRDefault="002125A8" w:rsidP="002125A8"/>
    <w:p w14:paraId="77896B7C" w14:textId="77777777" w:rsidR="002125A8" w:rsidRDefault="002125A8" w:rsidP="002125A8">
      <w:r>
        <w:t xml:space="preserve">Posteriormente, desarrolla el Plan de Integración Post-Fusión (PMI) centrado en la eficiencia operativa. Establece directrices para la consolidación de los sistemas ERP, la armonización de catálogos de cuentas y la unificación de políticas de reconocimiento de ingresos. Define </w:t>
      </w:r>
      <w:proofErr w:type="spellStart"/>
      <w:r>
        <w:t>KPIs</w:t>
      </w:r>
      <w:proofErr w:type="spellEnd"/>
      <w:r>
        <w:t xml:space="preserve"> específicos para medir la captura de sinergias (tanto de costos como de ingresos) y establece un cronograma de ejecución para el [Plazo de Ejecución] propuesto. El protocolo debe finalizar con un análisis de riesgos regulatorios y de cumplimiento, incluyendo aspectos de defensa de la competencia y protección de datos, proporcionando planes de mitigación para cada escenario crítico identificado.</w:t>
      </w:r>
    </w:p>
    <w:p w14:paraId="6DED7273" w14:textId="77777777" w:rsidR="002125A8" w:rsidRDefault="002125A8" w:rsidP="002125A8"/>
    <w:p w14:paraId="4CD63996" w14:textId="494C901A" w:rsidR="002125A8" w:rsidRDefault="002125A8" w:rsidP="002125A8">
      <w:r>
        <w:t>Si falta información clave para completar los campos entre corchetes, hazme las preguntas necesarias antes de responder.</w:t>
      </w:r>
    </w:p>
    <w:sectPr w:rsidR="002125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5A8"/>
    <w:rsid w:val="002125A8"/>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192B"/>
  <w15:chartTrackingRefBased/>
  <w15:docId w15:val="{608975B3-DC6D-44AE-8755-FC24F42F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2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12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125A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125A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25A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25A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25A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25A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25A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25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125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125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125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125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125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25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25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25A8"/>
    <w:rPr>
      <w:rFonts w:eastAsiaTheme="majorEastAsia" w:cstheme="majorBidi"/>
      <w:color w:val="272727" w:themeColor="text1" w:themeTint="D8"/>
    </w:rPr>
  </w:style>
  <w:style w:type="paragraph" w:styleId="Ttulo">
    <w:name w:val="Title"/>
    <w:basedOn w:val="Normal"/>
    <w:next w:val="Normal"/>
    <w:link w:val="TtuloCar"/>
    <w:uiPriority w:val="10"/>
    <w:qFormat/>
    <w:rsid w:val="00212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25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25A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25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25A8"/>
    <w:pPr>
      <w:spacing w:before="160"/>
      <w:jc w:val="center"/>
    </w:pPr>
    <w:rPr>
      <w:i/>
      <w:iCs/>
      <w:color w:val="404040" w:themeColor="text1" w:themeTint="BF"/>
    </w:rPr>
  </w:style>
  <w:style w:type="character" w:customStyle="1" w:styleId="CitaCar">
    <w:name w:val="Cita Car"/>
    <w:basedOn w:val="Fuentedeprrafopredeter"/>
    <w:link w:val="Cita"/>
    <w:uiPriority w:val="29"/>
    <w:rsid w:val="002125A8"/>
    <w:rPr>
      <w:i/>
      <w:iCs/>
      <w:color w:val="404040" w:themeColor="text1" w:themeTint="BF"/>
    </w:rPr>
  </w:style>
  <w:style w:type="paragraph" w:styleId="Prrafodelista">
    <w:name w:val="List Paragraph"/>
    <w:basedOn w:val="Normal"/>
    <w:uiPriority w:val="34"/>
    <w:qFormat/>
    <w:rsid w:val="002125A8"/>
    <w:pPr>
      <w:ind w:left="720"/>
      <w:contextualSpacing/>
    </w:pPr>
  </w:style>
  <w:style w:type="character" w:styleId="nfasisintenso">
    <w:name w:val="Intense Emphasis"/>
    <w:basedOn w:val="Fuentedeprrafopredeter"/>
    <w:uiPriority w:val="21"/>
    <w:qFormat/>
    <w:rsid w:val="002125A8"/>
    <w:rPr>
      <w:i/>
      <w:iCs/>
      <w:color w:val="0F4761" w:themeColor="accent1" w:themeShade="BF"/>
    </w:rPr>
  </w:style>
  <w:style w:type="paragraph" w:styleId="Citadestacada">
    <w:name w:val="Intense Quote"/>
    <w:basedOn w:val="Normal"/>
    <w:next w:val="Normal"/>
    <w:link w:val="CitadestacadaCar"/>
    <w:uiPriority w:val="30"/>
    <w:qFormat/>
    <w:rsid w:val="00212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25A8"/>
    <w:rPr>
      <w:i/>
      <w:iCs/>
      <w:color w:val="0F4761" w:themeColor="accent1" w:themeShade="BF"/>
    </w:rPr>
  </w:style>
  <w:style w:type="character" w:styleId="Referenciaintensa">
    <w:name w:val="Intense Reference"/>
    <w:basedOn w:val="Fuentedeprrafopredeter"/>
    <w:uiPriority w:val="32"/>
    <w:qFormat/>
    <w:rsid w:val="002125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2869</Characters>
  <Application>Microsoft Office Word</Application>
  <DocSecurity>0</DocSecurity>
  <Lines>23</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2026-06-15T02:56:00Z</dcterms:created>
  <dcterms:modified xsi:type="dcterms:W3CDTF">2026-06-15T02:57:00Z</dcterms:modified>
</cp:coreProperties>
</file>