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F1EFF" w14:textId="77777777" w:rsidR="00267F8D" w:rsidRDefault="00267F8D">
      <w:r w:rsidRPr="00267F8D">
        <w:t xml:space="preserve">Para obtener el máximo rendimiento de este </w:t>
      </w:r>
      <w:proofErr w:type="spellStart"/>
      <w:r w:rsidRPr="00267F8D">
        <w:t>prompt</w:t>
      </w:r>
      <w:proofErr w:type="spellEnd"/>
      <w:r w:rsidRPr="00267F8D">
        <w:t xml:space="preserve">, siga estos pasos: </w:t>
      </w:r>
    </w:p>
    <w:p w14:paraId="7ACDF364" w14:textId="77777777" w:rsidR="00267F8D" w:rsidRDefault="00267F8D">
      <w:r w:rsidRPr="00267F8D">
        <w:t xml:space="preserve">- Complete todos los campos entre corchetes [] con la información real de la operación corporativa. </w:t>
      </w:r>
    </w:p>
    <w:p w14:paraId="5E70055D" w14:textId="77777777" w:rsidR="00267F8D" w:rsidRDefault="00267F8D">
      <w:r w:rsidRPr="00267F8D">
        <w:t xml:space="preserve">- Si dispone de estados financieros previos, adjunte un resumen de los saldos de activos y pasivos para que el modelo pueda categorizarlos en el informe. </w:t>
      </w:r>
    </w:p>
    <w:p w14:paraId="061DB27A" w14:textId="77777777" w:rsidR="00267F8D" w:rsidRDefault="00267F8D">
      <w:r w:rsidRPr="00267F8D">
        <w:t xml:space="preserve">- Especifique la jurisdicción exacta para que las referencias legales sean precisas (ej. España, México, Colombia). </w:t>
      </w:r>
    </w:p>
    <w:p w14:paraId="166C34A8" w14:textId="77777777" w:rsidR="00267F8D" w:rsidRDefault="00267F8D">
      <w:r w:rsidRPr="00267F8D">
        <w:t xml:space="preserve">- Solicite al modelo que desglose la sección de 'Responsabilidad Solidaria' si la empresa tiene un alto nivel de endeudamiento. </w:t>
      </w:r>
    </w:p>
    <w:p w14:paraId="7692951B" w14:textId="3C54A5DF" w:rsidR="009A2238" w:rsidRDefault="00267F8D">
      <w:pPr>
        <w:pBdr>
          <w:bottom w:val="single" w:sz="6" w:space="1" w:color="auto"/>
        </w:pBdr>
      </w:pPr>
      <w:r w:rsidRPr="00267F8D">
        <w:t>- Revise el cronograma generado para ajustarlo a los tiempos administrativos reales de su registro mercantil local.</w:t>
      </w:r>
    </w:p>
    <w:p w14:paraId="491E9B09" w14:textId="77777777" w:rsidR="00267F8D" w:rsidRDefault="00267F8D"/>
    <w:p w14:paraId="32FFC9CD" w14:textId="1F0D5AB3" w:rsidR="00267F8D" w:rsidRDefault="00267F8D">
      <w:proofErr w:type="spellStart"/>
      <w:r>
        <w:t>Prompt</w:t>
      </w:r>
      <w:proofErr w:type="spellEnd"/>
      <w:r>
        <w:t>:</w:t>
      </w:r>
    </w:p>
    <w:p w14:paraId="3BEE2046" w14:textId="77777777" w:rsidR="00267F8D" w:rsidRDefault="00267F8D"/>
    <w:p w14:paraId="400839E4" w14:textId="77777777" w:rsidR="00267F8D" w:rsidRDefault="00267F8D" w:rsidP="00267F8D">
      <w:r>
        <w:t>Actúa como un Consultor Senior especializado en Derecho Corporativo y Reestructuraciones Empresariales con más de 20 años de experiencia en fusiones y adquisiciones (M&amp;A). Tu objetivo es redactar un 'Informe de Escisiones Legales' exhaustivo y de alta calidad técnica para la entidad [Nombre de la Sociedad Escindente], que planea transferir una parte sustancial de su patrimonio a la(s) sociedad(es) beneficiaria(s) denominada(s) [Nombre de la Sociedad/es Beneficiaria/s]. El informe debe estar diseñado para ser presentado ante la junta directiva y los accionistas, proporcionando una base sólida para la toma de decisiones estratégicas y financieras.</w:t>
      </w:r>
    </w:p>
    <w:p w14:paraId="16A1B94C" w14:textId="77777777" w:rsidR="00267F8D" w:rsidRDefault="00267F8D" w:rsidP="00267F8D"/>
    <w:p w14:paraId="554E4770" w14:textId="77777777" w:rsidR="00267F8D" w:rsidRDefault="00267F8D" w:rsidP="00267F8D"/>
    <w:p w14:paraId="371781AF" w14:textId="77777777" w:rsidR="00267F8D" w:rsidRDefault="00267F8D" w:rsidP="00267F8D">
      <w:r>
        <w:t>En el primer apartado, realiza un análisis detallado del marco normativo aplicable según la legislación de [País/Jurisdicción], citando específicamente los artículos pertinentes de la Ley de Sociedades Comerciales o normativa mercantil vigente. Define con precisión si la operación se clasifica como una escisión total, parcial o por segregación, justificando técnica y legalmente esta elección basada en los objetivos de [Objetivo Estratégico, ej. Separación de la unidad de logística del negocio principal]. Describe los requisitos de publicidad, los plazos legales de convocatoria y los derechos de información de los socios.</w:t>
      </w:r>
    </w:p>
    <w:p w14:paraId="1BD6E2EE" w14:textId="77777777" w:rsidR="00267F8D" w:rsidRDefault="00267F8D" w:rsidP="00267F8D"/>
    <w:p w14:paraId="1DCC7B76" w14:textId="77777777" w:rsidR="00267F8D" w:rsidRDefault="00267F8D" w:rsidP="00267F8D"/>
    <w:p w14:paraId="48A91DC8" w14:textId="77777777" w:rsidR="00267F8D" w:rsidRDefault="00267F8D" w:rsidP="00267F8D">
      <w:r>
        <w:t xml:space="preserve">Desarrolla una sección crítica sobre la determinación, identificación y valoración del patrimonio a transmitir. Esto debe incluir un inventario detallado de activos (tangibles e intangibles), pasivos exigibles y posibles pasivos contingentes identificados en la fase de Due </w:t>
      </w:r>
      <w:proofErr w:type="spellStart"/>
      <w:r>
        <w:t>Diligence</w:t>
      </w:r>
      <w:proofErr w:type="spellEnd"/>
      <w:r>
        <w:t>. Explica el método de valoración aplicado [Método de Valoración, ej. Valor Contable, Valor Real o Flujo de Caja Descontado] y cómo este método garantiza la equidad en la ecuación de canje de las nuevas acciones o participaciones sociales. Incluye un análisis sobre la protección de los derechos de los acreedores y el ejercicio del derecho de oposición.</w:t>
      </w:r>
    </w:p>
    <w:p w14:paraId="1AE8592D" w14:textId="77777777" w:rsidR="00267F8D" w:rsidRDefault="00267F8D" w:rsidP="00267F8D"/>
    <w:p w14:paraId="5EB1CCD1" w14:textId="77777777" w:rsidR="00267F8D" w:rsidRDefault="00267F8D" w:rsidP="00267F8D"/>
    <w:p w14:paraId="660B53FA" w14:textId="77777777" w:rsidR="00267F8D" w:rsidRDefault="00267F8D" w:rsidP="00267F8D">
      <w:r>
        <w:t xml:space="preserve">Aborda con profundidad técnica las implicaciones fiscales y contables de la escisión. Analiza la aplicabilidad del régimen de neutralidad impositiva para evitar el devengo de plusvalías en la sociedad escindente y el tratamiento de las bases imponibles negativas pendientes de compensar. Detalla el impacto en impuestos directos e indirectos como el [IVA / ITPAJD / Impuesto a las Ganancias] y la responsabilidad solidaria que asumen las sociedades beneficiarias respecto a las deudas sociales previas. Propón cláusulas de indemnidad y mecanismos de ajuste de valor </w:t>
      </w:r>
      <w:proofErr w:type="spellStart"/>
      <w:r>
        <w:t>post-cierre</w:t>
      </w:r>
      <w:proofErr w:type="spellEnd"/>
      <w:r>
        <w:t xml:space="preserve"> para mitigar riesgos financieros.</w:t>
      </w:r>
    </w:p>
    <w:p w14:paraId="5BA186CB" w14:textId="77777777" w:rsidR="00267F8D" w:rsidRDefault="00267F8D" w:rsidP="00267F8D"/>
    <w:p w14:paraId="5EBD05F1" w14:textId="77777777" w:rsidR="00267F8D" w:rsidRDefault="00267F8D" w:rsidP="00267F8D"/>
    <w:p w14:paraId="1499D37B" w14:textId="77777777" w:rsidR="00267F8D" w:rsidRDefault="00267F8D" w:rsidP="00267F8D">
      <w:r>
        <w:t>Finalmente, elabora un cronograma de ejecución o '</w:t>
      </w:r>
      <w:proofErr w:type="spellStart"/>
      <w:r>
        <w:t>Roadmap</w:t>
      </w:r>
      <w:proofErr w:type="spellEnd"/>
      <w:r>
        <w:t>' que abarque desde la redacción del proyecto de escisión y el balance de escisión auditado, hasta la elevación a escritura pública e inscripción definitiva en el Registro Mercantil. Concluye con una síntesis de riesgos y beneficios, evaluando la viabilidad de la operación bajo el escenario económico actual de [Contexto del Mercado]. El tono debe ser formal, analítico y preventivo, asegurando que no quede ningún vacío legal que pueda comprometer la validez de la reestructuración.</w:t>
      </w:r>
    </w:p>
    <w:p w14:paraId="6C52E2DB" w14:textId="77777777" w:rsidR="00267F8D" w:rsidRDefault="00267F8D" w:rsidP="00267F8D"/>
    <w:p w14:paraId="24386D92" w14:textId="42D5EF35" w:rsidR="00267F8D" w:rsidRDefault="00267F8D" w:rsidP="00267F8D">
      <w:r>
        <w:t>Si falta información clave para completar los campos entre corchetes, hazme las preguntas necesarias antes de responder.</w:t>
      </w:r>
    </w:p>
    <w:sectPr w:rsidR="00267F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F8D"/>
    <w:rsid w:val="00267F8D"/>
    <w:rsid w:val="007711A9"/>
    <w:rsid w:val="00996E61"/>
    <w:rsid w:val="009A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75D0D"/>
  <w15:chartTrackingRefBased/>
  <w15:docId w15:val="{98D98694-2D1E-48FF-804F-8A3F51E4A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67F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67F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67F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67F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67F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67F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67F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67F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67F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67F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67F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67F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67F8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67F8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67F8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67F8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67F8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67F8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67F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67F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67F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67F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67F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67F8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67F8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67F8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67F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67F8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67F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3303</Characters>
  <Application>Microsoft Office Word</Application>
  <DocSecurity>0</DocSecurity>
  <Lines>27</Lines>
  <Paragraphs>7</Paragraphs>
  <ScaleCrop>false</ScaleCrop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2026-06-15T02:48:00Z</dcterms:created>
  <dcterms:modified xsi:type="dcterms:W3CDTF">2026-06-15T02:49:00Z</dcterms:modified>
</cp:coreProperties>
</file>