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150DF" w14:textId="77777777" w:rsidR="00D34D95" w:rsidRDefault="00D34D95">
      <w:r w:rsidRPr="00D34D95">
        <w:t xml:space="preserve">- Copia y pega el contenido del </w:t>
      </w:r>
      <w:proofErr w:type="spellStart"/>
      <w:r w:rsidRPr="00D34D95">
        <w:t>prompt</w:t>
      </w:r>
      <w:proofErr w:type="spellEnd"/>
      <w:r w:rsidRPr="00D34D95">
        <w:t xml:space="preserve"> en el chat de la herramienta seleccionada. - Sustituye cada variable entre corchetes </w:t>
      </w:r>
      <w:proofErr w:type="gramStart"/>
      <w:r w:rsidRPr="00D34D95">
        <w:t>[ ]</w:t>
      </w:r>
      <w:proofErr w:type="gramEnd"/>
      <w:r w:rsidRPr="00D34D95">
        <w:t xml:space="preserve"> con la información específica de la empresa o cliente que estás asesorando. </w:t>
      </w:r>
    </w:p>
    <w:p w14:paraId="6BF2B336" w14:textId="77777777" w:rsidR="00D34D95" w:rsidRDefault="00D34D95">
      <w:r w:rsidRPr="00D34D95">
        <w:t xml:space="preserve">- Si la empresa tiene activos biológicos o industrias extractivas, añade esa especificación en la variable de [Sectores de Operación] para que la IA aplique la NIC 41 o NIIF 6. </w:t>
      </w:r>
    </w:p>
    <w:p w14:paraId="1059CB96" w14:textId="77777777" w:rsidR="00D34D95" w:rsidRDefault="00D34D95">
      <w:r w:rsidRPr="00D34D95">
        <w:t xml:space="preserve">- Solicita a la IA que genere un cuadro comparativo entre el marco anterior y el nuevo para visualizar mejor los impactos financieros. </w:t>
      </w:r>
    </w:p>
    <w:p w14:paraId="3BBBBAA6" w14:textId="58D22171" w:rsidR="009A2238" w:rsidRDefault="00D34D95">
      <w:pPr>
        <w:pBdr>
          <w:bottom w:val="single" w:sz="6" w:space="1" w:color="auto"/>
        </w:pBdr>
      </w:pPr>
      <w:r w:rsidRPr="00D34D95">
        <w:t>- Revisa cuidadosamente la sección de Ética Profesional para asegurar que el proceso de adopción no comprometa los principios de integridad del contador.</w:t>
      </w:r>
    </w:p>
    <w:p w14:paraId="05808A12" w14:textId="77777777" w:rsidR="00D34D95" w:rsidRDefault="00D34D95"/>
    <w:p w14:paraId="099C02DC" w14:textId="77777777" w:rsidR="00D34D95" w:rsidRDefault="00D34D95" w:rsidP="00D34D95">
      <w:proofErr w:type="spellStart"/>
      <w:r>
        <w:t>Prompt</w:t>
      </w:r>
      <w:proofErr w:type="spellEnd"/>
      <w:r>
        <w:t>:</w:t>
      </w:r>
      <w:r>
        <w:br/>
      </w:r>
      <w:r>
        <w:br/>
      </w:r>
      <w:r>
        <w:t>Actúa como un Consultor Senior Especialista en Estándares Internacionales de Información Financiera (NIIF/IFRS) y Ética Profesional de la IFAC. Tu objetivo es diseñar una hoja de ruta técnica y estratégica para el proceso de convergencia y adopción de normas internacionales en la organización [Nombre de la Entidad], ubicada en [Jurisdicción], la cual actualmente reporta bajo [Marco Contable Anterior]. El entregable debe ser un plan maestro que garantice la integridad de la información financiera y el cumplimiento normativo estricto.</w:t>
      </w:r>
    </w:p>
    <w:p w14:paraId="41265583" w14:textId="77777777" w:rsidR="00D34D95" w:rsidRDefault="00D34D95" w:rsidP="00D34D95"/>
    <w:p w14:paraId="76AB6724" w14:textId="77777777" w:rsidR="00D34D95" w:rsidRDefault="00D34D95" w:rsidP="00D34D95"/>
    <w:p w14:paraId="28A0C724" w14:textId="77777777" w:rsidR="00D34D95" w:rsidRDefault="00D34D95" w:rsidP="00D34D95">
      <w:r>
        <w:t xml:space="preserve">Inicia realizando un diagnóstico de brechas (Gap </w:t>
      </w:r>
      <w:proofErr w:type="spellStart"/>
      <w:r>
        <w:t>Analysis</w:t>
      </w:r>
      <w:proofErr w:type="spellEnd"/>
      <w:r>
        <w:t>) exhaustivo, comparando las políticas contables vigentes con los requerimientos de las NIIF Plenas o NIIF para PYMES (según corresponda a [Tamaño de la Empresa]). Debes enfocarte prioritariamente en áreas críticas como la medición posterior de Propiedad, Planta y Equipo (NIC 16), el modelo de pérdida esperada en Instrumentos Financieros (NIIF 9), el reconocimiento de ingresos por contratos con clientes (NIIF 15) y la capitalización de Arrendamientos (NIIF 16), considerando las particularidades operativas del sector [Sectores de Operación].</w:t>
      </w:r>
    </w:p>
    <w:p w14:paraId="3B047BAE" w14:textId="77777777" w:rsidR="00D34D95" w:rsidRDefault="00D34D95" w:rsidP="00D34D95"/>
    <w:p w14:paraId="3609A69E" w14:textId="77777777" w:rsidR="00D34D95" w:rsidRDefault="00D34D95" w:rsidP="00D34D95"/>
    <w:p w14:paraId="2B49BE29" w14:textId="77777777" w:rsidR="00D34D95" w:rsidRDefault="00D34D95" w:rsidP="00D34D95">
      <w:r>
        <w:t xml:space="preserve">Desarrolla un plan de implementación detallado que incluya: 1) La metodología para la elaboración del Estado de Situación Financiera de Apertura (ESFA) con los ajustes y reclasificaciones necesarios a la fecha de transición [Fecha de Corte]. 2) El diseño de las nuevas políticas contables bajo estándares internacionales, </w:t>
      </w:r>
      <w:r>
        <w:lastRenderedPageBreak/>
        <w:t>asegurando que se alineen con el Código de Ética para Profesionales de la Contabilidad, enfatizando la transparencia, la objetividad en el uso de juicios profesionales y la mitigación de amenazas a la independencia durante el proceso de valoración de activos y pasivos.</w:t>
      </w:r>
    </w:p>
    <w:p w14:paraId="4710FEAA" w14:textId="77777777" w:rsidR="00D34D95" w:rsidRDefault="00D34D95" w:rsidP="00D34D95"/>
    <w:p w14:paraId="72069C71" w14:textId="77777777" w:rsidR="00D34D95" w:rsidRDefault="00D34D95" w:rsidP="00D34D95"/>
    <w:p w14:paraId="02AC8F58" w14:textId="77777777" w:rsidR="00D34D95" w:rsidRDefault="00D34D95" w:rsidP="00D34D95">
      <w:r>
        <w:t>Finalmente, genera un protocolo de revelaciones obligatorias y notas a los estados financieros que expliquen de forma clara la transición, cuantificando el impacto en el patrimonio y los resultados acumulados. Proporciona recomendaciones estratégicas sobre la capacitación del capital humano y la reconfiguración de los sistemas ERP para soportar el registro de transacciones bajo el nuevo marco técnico normativo. El análisis debe priorizar la relevancia de la información y la representación fiel de la realidad económica de la entidad en el mercado global.</w:t>
      </w:r>
    </w:p>
    <w:p w14:paraId="3103D2D9" w14:textId="77777777" w:rsidR="00D34D95" w:rsidRDefault="00D34D95" w:rsidP="00D34D95"/>
    <w:p w14:paraId="6597FEA2" w14:textId="7ABCAB4B" w:rsidR="00D34D95" w:rsidRDefault="00D34D95" w:rsidP="00D34D95">
      <w:r>
        <w:t>Si falta información clave para completar los campos entre corchetes, hazme las preguntas necesarias antes de responder.</w:t>
      </w:r>
    </w:p>
    <w:sectPr w:rsidR="00D34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95"/>
    <w:rsid w:val="007711A9"/>
    <w:rsid w:val="00996E61"/>
    <w:rsid w:val="009A2238"/>
    <w:rsid w:val="00D3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DF8D"/>
  <w15:chartTrackingRefBased/>
  <w15:docId w15:val="{476A345F-00F0-4D01-937D-127CA60B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4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4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4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4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4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4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4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4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4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4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4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4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4D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4D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4D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4D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4D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4D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4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34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4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34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4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4D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4D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4D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4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4D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4D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2026-06-15T02:58:00Z</dcterms:created>
  <dcterms:modified xsi:type="dcterms:W3CDTF">2026-06-15T02:59:00Z</dcterms:modified>
</cp:coreProperties>
</file>