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6D570" w14:textId="77777777" w:rsidR="006866EB" w:rsidRDefault="006866EB">
      <w:r w:rsidRPr="006866EB">
        <w:t xml:space="preserve">- Copia el </w:t>
      </w:r>
      <w:proofErr w:type="spellStart"/>
      <w:r w:rsidRPr="006866EB">
        <w:t>prompt</w:t>
      </w:r>
      <w:proofErr w:type="spellEnd"/>
      <w:r w:rsidRPr="006866EB">
        <w:t xml:space="preserve"> íntegro en la interfaz de la herramienta seleccionada. </w:t>
      </w:r>
    </w:p>
    <w:p w14:paraId="7EDC8A4F" w14:textId="77777777" w:rsidR="006866EB" w:rsidRDefault="006866EB">
      <w:r w:rsidRPr="006866EB">
        <w:t xml:space="preserve">- Sustituye de forma obligatoria los valores entre corchetes </w:t>
      </w:r>
      <w:proofErr w:type="gramStart"/>
      <w:r w:rsidRPr="006866EB">
        <w:t>[ ]</w:t>
      </w:r>
      <w:proofErr w:type="gramEnd"/>
      <w:r w:rsidRPr="006866EB">
        <w:t xml:space="preserve"> con la información real de tu entidad y los servicios analizados. </w:t>
      </w:r>
    </w:p>
    <w:p w14:paraId="02F2CB0D" w14:textId="77777777" w:rsidR="006866EB" w:rsidRDefault="006866EB">
      <w:r w:rsidRPr="006866EB">
        <w:t xml:space="preserve">- Proporciona la lista de facturas en formato de texto o tabla para que la IA realice los cálculos matemáticos. </w:t>
      </w:r>
    </w:p>
    <w:p w14:paraId="1FB3BC6A" w14:textId="77777777" w:rsidR="006866EB" w:rsidRDefault="006866EB">
      <w:r w:rsidRPr="006866EB">
        <w:t xml:space="preserve">- Solicita una revisión específica si tienes dudas sobre si un servicio califica como 'Otros servicios empresariales' o un servicio específico con tasa diferenciada. </w:t>
      </w:r>
    </w:p>
    <w:p w14:paraId="7359F082" w14:textId="376458E9" w:rsidR="009A2238" w:rsidRDefault="006866EB">
      <w:r w:rsidRPr="006866EB">
        <w:t>- Utiliza el reporte final para conciliar con tus registros en el Banco de la Nación.</w:t>
      </w:r>
    </w:p>
    <w:p w14:paraId="0DCB24A5" w14:textId="77777777" w:rsidR="006866EB" w:rsidRDefault="006866EB"/>
    <w:p w14:paraId="2E4A6AD0" w14:textId="59E53380" w:rsidR="006866EB" w:rsidRDefault="006866EB">
      <w:r>
        <w:t>--------------------------------------------------------------------------------------------------------</w:t>
      </w:r>
      <w:r>
        <w:br/>
      </w:r>
      <w:r>
        <w:br/>
      </w:r>
      <w:proofErr w:type="spellStart"/>
      <w:r>
        <w:t>Prompt</w:t>
      </w:r>
      <w:proofErr w:type="spellEnd"/>
      <w:r>
        <w:t>:</w:t>
      </w:r>
    </w:p>
    <w:p w14:paraId="12576DF3" w14:textId="77777777" w:rsidR="006866EB" w:rsidRDefault="006866EB"/>
    <w:p w14:paraId="2766813E" w14:textId="77777777" w:rsidR="006866EB" w:rsidRDefault="006866EB" w:rsidP="006866EB">
      <w:r>
        <w:t>Actúa como un Consultor Senior en Tributación Indirecta y Especialista en Auditoría Fiscal, con un dominio profundo del Sistema de Pago de Obligaciones Tributarias (SPOT). Tu misión principal es actuar como un motor de validación y asesoría técnica para la correcta gestión de las 'Detracciones de servicios específicos' correspondientes al portafolio de operaciones de la empresa [Nombre de la Empresa] durante el ejercicio fiscal [Año].</w:t>
      </w:r>
    </w:p>
    <w:p w14:paraId="2278E916" w14:textId="77777777" w:rsidR="006866EB" w:rsidRDefault="006866EB" w:rsidP="006866EB"/>
    <w:p w14:paraId="1392C85D" w14:textId="77777777" w:rsidR="006866EB" w:rsidRDefault="006866EB" w:rsidP="006866EB"/>
    <w:p w14:paraId="011D4353" w14:textId="77777777" w:rsidR="006866EB" w:rsidRDefault="006866EB" w:rsidP="006866EB">
      <w:r>
        <w:t>El análisis debe comenzar con la clasificación pormenorizada de los siguientes conceptos de gasto: [Describir Servicios: ej. Mantenimiento, Asesoría, Transporte, Intermediación Laboral]. Para cada uno de estos servicios, debes cruzar la información con el catálogo oficial de bienes y servicios sujetos al régimen de detracciones, identificando con precisión el código de anexo (Anexo 3 usualmente para servicios), el tipo de operación y la tasa porcentual vigente (ej. 4%, 10%, 12% según corresponda a la normativa local).</w:t>
      </w:r>
    </w:p>
    <w:p w14:paraId="5AAC68B8" w14:textId="77777777" w:rsidR="006866EB" w:rsidRDefault="006866EB" w:rsidP="006866EB"/>
    <w:p w14:paraId="233A4312" w14:textId="77777777" w:rsidR="006866EB" w:rsidRDefault="006866EB" w:rsidP="006866EB"/>
    <w:p w14:paraId="0D2BE1E2" w14:textId="77777777" w:rsidR="006866EB" w:rsidRDefault="006866EB" w:rsidP="006866EB">
      <w:r>
        <w:t xml:space="preserve">Posteriormente, procesa la data financiera suministrada: [Insertar Data de Facturación: Número de Factura, RUC Proveedor, Base Imponible, IGV, Total]. Calcula de forma automatizada el monto de la detracción para cada comprobante, verificando rigurosamente si el importe total de la operación supera </w:t>
      </w:r>
      <w:r>
        <w:lastRenderedPageBreak/>
        <w:t>el umbral mínimo legal (ej. S/ 700.00 o su equivalente) para que nazca la obligación de depósito. En caso de servicios de transporte de bienes por carretera, aplica las reglas específicas sobre carga útil y valores referenciales si fuera necesario para determinar la base de cálculo correcta.</w:t>
      </w:r>
    </w:p>
    <w:p w14:paraId="6785547F" w14:textId="77777777" w:rsidR="006866EB" w:rsidRDefault="006866EB" w:rsidP="006866EB"/>
    <w:p w14:paraId="01076B3A" w14:textId="77777777" w:rsidR="006866EB" w:rsidRDefault="006866EB" w:rsidP="006866EB"/>
    <w:p w14:paraId="14A93071" w14:textId="77777777" w:rsidR="006866EB" w:rsidRDefault="006866EB" w:rsidP="006866EB">
      <w:r>
        <w:t>Finalmente, elabora un diagnóstico de riesgos tributarios integral. Advierte sobre las consecuencias legales de la omisión o el depósito parcial de las detracciones, tales como la imposibilidad de utilizar el crédito fiscal del IGV/IVA en el periodo correspondiente, la generación de multas equivalentes al 50% del tributo no pagado y la restricción en el uso de la cuenta de detracciones. Concluye con un resumen ejecutivo que presente el total a detraer, el cronograma sugerido de pagos para evitar contingencias y una guía de asientos contables para el registro correcto del movimiento en el libro diario y su impacto en el estado de flujos de efectivo.</w:t>
      </w:r>
    </w:p>
    <w:p w14:paraId="39B42483" w14:textId="77777777" w:rsidR="006866EB" w:rsidRDefault="006866EB" w:rsidP="006866EB"/>
    <w:p w14:paraId="0C3052FF" w14:textId="4EE9832D" w:rsidR="006866EB" w:rsidRDefault="006866EB" w:rsidP="006866EB">
      <w:r>
        <w:t>Si falta información clave para completar los campos entre corchetes, hazme las preguntas necesarias antes de responder.</w:t>
      </w:r>
    </w:p>
    <w:sectPr w:rsidR="006866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EB"/>
    <w:rsid w:val="006866EB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560B"/>
  <w15:chartTrackingRefBased/>
  <w15:docId w15:val="{03F0DEE1-F0C5-438A-897E-1DE114B0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6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6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6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6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6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6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6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6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6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6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6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6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66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66E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66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66E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66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66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6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6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6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6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6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66E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66E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66E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6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66E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66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2026-06-14T21:00:00Z</dcterms:created>
  <dcterms:modified xsi:type="dcterms:W3CDTF">2026-06-14T21:02:00Z</dcterms:modified>
</cp:coreProperties>
</file>