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3BD74" w14:textId="77777777" w:rsidR="00672287" w:rsidRDefault="00672287">
      <w:r w:rsidRPr="00672287">
        <w:t xml:space="preserve">- Complete todos los campos entre corchetes </w:t>
      </w:r>
      <w:proofErr w:type="gramStart"/>
      <w:r w:rsidRPr="00672287">
        <w:t>[ ]</w:t>
      </w:r>
      <w:proofErr w:type="gramEnd"/>
      <w:r w:rsidRPr="00672287">
        <w:t xml:space="preserve"> con la información financiera y operativa real de la empresa. </w:t>
      </w:r>
    </w:p>
    <w:p w14:paraId="06768301" w14:textId="77777777" w:rsidR="00672287" w:rsidRDefault="00672287">
      <w:r w:rsidRPr="00672287">
        <w:t xml:space="preserve">- Proporcione al modelo un resumen de los estados financieros (Balance General y Estado de Resultados) de los últimos dos años para un análisis contextual. </w:t>
      </w:r>
    </w:p>
    <w:p w14:paraId="275E67EF" w14:textId="77777777" w:rsidR="00672287" w:rsidRDefault="00672287">
      <w:r w:rsidRPr="00672287">
        <w:t xml:space="preserve">- Especifique si la empresa tiene deudas vigentes, líneas de crédito revolventes o compromisos de inversión (CAPEX) importantes en el corto plazo. </w:t>
      </w:r>
    </w:p>
    <w:p w14:paraId="246BA3C8" w14:textId="77777777" w:rsidR="00672287" w:rsidRDefault="00672287">
      <w:r w:rsidRPr="00672287">
        <w:t xml:space="preserve">- Indique el perfil de riesgo de la organización (ej. Conservador, Moderado, Agresivo) para ajustar las recomendaciones de inversión y cobertura. </w:t>
      </w:r>
    </w:p>
    <w:p w14:paraId="788639E1" w14:textId="6BC5F597" w:rsidR="009A2238" w:rsidRDefault="00672287">
      <w:r w:rsidRPr="00672287">
        <w:t>- Solicite que el resultado final se presente en formato de Informe de Consultoría Ejecutiva con un cronograma de implementación de 6 a 12 meses.</w:t>
      </w:r>
    </w:p>
    <w:p w14:paraId="018620E2" w14:textId="77777777" w:rsidR="00672287" w:rsidRDefault="00672287">
      <w:pPr>
        <w:pBdr>
          <w:bottom w:val="single" w:sz="6" w:space="1" w:color="auto"/>
        </w:pBdr>
      </w:pPr>
    </w:p>
    <w:p w14:paraId="3570EBB5" w14:textId="77777777" w:rsidR="00672287" w:rsidRDefault="00672287"/>
    <w:p w14:paraId="0EF4BA56" w14:textId="7B64EC2F" w:rsidR="00672287" w:rsidRDefault="00672287">
      <w:proofErr w:type="spellStart"/>
      <w:r>
        <w:t>Prompt</w:t>
      </w:r>
      <w:proofErr w:type="spellEnd"/>
      <w:r>
        <w:t>:</w:t>
      </w:r>
    </w:p>
    <w:p w14:paraId="5FE00A20" w14:textId="77777777" w:rsidR="00672287" w:rsidRDefault="00672287"/>
    <w:p w14:paraId="050DD43E" w14:textId="77777777" w:rsidR="00672287" w:rsidRDefault="00672287" w:rsidP="00672287">
      <w:r>
        <w:t>Actúa como un Consultor Senior de Tesorería Corporativa con más de 20 años de experiencia en la optimización de estructuras financieras para multinacionales. Tu misión es diseñar un Plan Estratégico de Gestión de Tesorería Integral para la empresa [Nombre de la Empresa], la cual opera en el sector de [Sector Industrial]. El objetivo primordial es maximizar la eficiencia operativa del flujo de caja, asegurar la liquidez inmediata y mitigar los riesgos financieros derivados de la volatilidad del mercado en [País o Región de Operación].</w:t>
      </w:r>
    </w:p>
    <w:p w14:paraId="7E9413AE" w14:textId="77777777" w:rsidR="00672287" w:rsidRDefault="00672287" w:rsidP="00672287"/>
    <w:p w14:paraId="11C3ED27" w14:textId="77777777" w:rsidR="00672287" w:rsidRDefault="00672287" w:rsidP="00672287"/>
    <w:p w14:paraId="246DBD39" w14:textId="77777777" w:rsidR="00672287" w:rsidRDefault="00672287" w:rsidP="00672287">
      <w:r>
        <w:t xml:space="preserve">Comienza realizando un análisis profundo del Ciclo de Conversión de Efectivo (CCC). Debes desglosar y proponer estrategias específicas para optimizar el Days Sales </w:t>
      </w:r>
      <w:proofErr w:type="spellStart"/>
      <w:r>
        <w:t>Outstanding</w:t>
      </w:r>
      <w:proofErr w:type="spellEnd"/>
      <w:r>
        <w:t xml:space="preserve"> (DSO), el Days </w:t>
      </w:r>
      <w:proofErr w:type="spellStart"/>
      <w:r>
        <w:t>Inventory</w:t>
      </w:r>
      <w:proofErr w:type="spellEnd"/>
      <w:r>
        <w:t xml:space="preserve"> </w:t>
      </w:r>
      <w:proofErr w:type="spellStart"/>
      <w:r>
        <w:t>Outstanding</w:t>
      </w:r>
      <w:proofErr w:type="spellEnd"/>
      <w:r>
        <w:t xml:space="preserve"> (DIO) y el Days </w:t>
      </w:r>
      <w:proofErr w:type="spellStart"/>
      <w:r>
        <w:t>Payable</w:t>
      </w:r>
      <w:proofErr w:type="spellEnd"/>
      <w:r>
        <w:t xml:space="preserve"> </w:t>
      </w:r>
      <w:proofErr w:type="spellStart"/>
      <w:r>
        <w:t>Outstanding</w:t>
      </w:r>
      <w:proofErr w:type="spellEnd"/>
      <w:r>
        <w:t xml:space="preserve"> (DPO). Analiza cómo la implementación de tecnologías de automatización en el departamento de [Departamento Específico] podría reducir los errores manuales y acelerar la conciliación bancaria, mejorando la visibilidad del efectivo en tiempo real (Cash </w:t>
      </w:r>
      <w:proofErr w:type="spellStart"/>
      <w:r>
        <w:t>Visibility</w:t>
      </w:r>
      <w:proofErr w:type="spellEnd"/>
      <w:r>
        <w:t>).</w:t>
      </w:r>
    </w:p>
    <w:p w14:paraId="2100F532" w14:textId="77777777" w:rsidR="00672287" w:rsidRDefault="00672287" w:rsidP="00672287"/>
    <w:p w14:paraId="3CCB4F90" w14:textId="77777777" w:rsidR="00672287" w:rsidRDefault="00672287" w:rsidP="00672287"/>
    <w:p w14:paraId="5EB81D54" w14:textId="77777777" w:rsidR="00672287" w:rsidRDefault="00672287" w:rsidP="00672287">
      <w:r>
        <w:t xml:space="preserve">Desarrolla un modelo de Proyección de Flujo de Caja (Cash Flow </w:t>
      </w:r>
      <w:proofErr w:type="spellStart"/>
      <w:r>
        <w:t>Forecasting</w:t>
      </w:r>
      <w:proofErr w:type="spellEnd"/>
      <w:r>
        <w:t xml:space="preserve">) a corto y mediano plazo (13 semanas y 12 meses). Este modelo debe contemplar </w:t>
      </w:r>
      <w:r>
        <w:lastRenderedPageBreak/>
        <w:t xml:space="preserve">escenarios deterministas y estocásticos para prever necesidades de financiamiento externo o excesos de liquidez. Incluye una política de gestión de saldos mínimos operativos y la estructuración de un sistema de 'Cash </w:t>
      </w:r>
      <w:proofErr w:type="spellStart"/>
      <w:r>
        <w:t>Pooling</w:t>
      </w:r>
      <w:proofErr w:type="spellEnd"/>
      <w:r>
        <w:t>' si la empresa posee múltiples subsidiarias o unidades de negocio en [Ubicaciones Geográficas], con el fin de centralizar la liquidez y reducir costos transaccionales.</w:t>
      </w:r>
    </w:p>
    <w:p w14:paraId="584A0D6F" w14:textId="77777777" w:rsidR="00672287" w:rsidRDefault="00672287" w:rsidP="00672287"/>
    <w:p w14:paraId="2BF24713" w14:textId="77777777" w:rsidR="00672287" w:rsidRDefault="00672287" w:rsidP="00672287"/>
    <w:p w14:paraId="089D5F06" w14:textId="77777777" w:rsidR="00672287" w:rsidRDefault="00672287" w:rsidP="00672287">
      <w:r>
        <w:t>Diseña una estrategia robusta de Gestión de Riesgos Financieros (</w:t>
      </w:r>
      <w:proofErr w:type="spellStart"/>
      <w:r>
        <w:t>Hedging</w:t>
      </w:r>
      <w:proofErr w:type="spellEnd"/>
      <w:r>
        <w:t>). Evalúa la exposición de la compañía al riesgo de tipo de cambio debido a [Operaciones en Moneda Extranjera] y al riesgo de tasa de interés por la deuda contraída de [Monto y Tipo de Deuda]. Recomienda instrumentos derivados específicos (Forwards, Swaps, Opciones) o coberturas naturales que se alineen con la política de tolerancia al riesgo de la junta directiva, justificando el costo-beneficio de cada cobertura propuesta en el contexto de la inflación proyectada.</w:t>
      </w:r>
    </w:p>
    <w:p w14:paraId="185328B9" w14:textId="77777777" w:rsidR="00672287" w:rsidRDefault="00672287" w:rsidP="00672287"/>
    <w:p w14:paraId="494DF5E2" w14:textId="77777777" w:rsidR="00672287" w:rsidRDefault="00672287" w:rsidP="00672287"/>
    <w:p w14:paraId="4EDEAD2D" w14:textId="77777777" w:rsidR="00672287" w:rsidRDefault="00672287" w:rsidP="00672287">
      <w:r>
        <w:t xml:space="preserve">Establece una Política de Inversión para Excedentes de Caja basada en los principios de Seguridad, Liquidez y Rentabilidad. Define un portafolio sugerido que incluya instrumentos como [Tipos de Activos: </w:t>
      </w:r>
      <w:proofErr w:type="spellStart"/>
      <w:r>
        <w:t>CDTs</w:t>
      </w:r>
      <w:proofErr w:type="spellEnd"/>
      <w:r>
        <w:t xml:space="preserve">, Bonos Corporativos, Fondos de Mercado Monetario, etc.], detallando los límites de concentración por emisor y clase de activo. Finalmente, define un </w:t>
      </w:r>
      <w:proofErr w:type="spellStart"/>
      <w:r>
        <w:t>Dashboard</w:t>
      </w:r>
      <w:proofErr w:type="spellEnd"/>
      <w:r>
        <w:t xml:space="preserve"> de Tesorería con </w:t>
      </w:r>
      <w:proofErr w:type="spellStart"/>
      <w:r>
        <w:t>KPIs</w:t>
      </w:r>
      <w:proofErr w:type="spellEnd"/>
      <w:r>
        <w:t xml:space="preserve"> críticos y un protocolo de 'Bank </w:t>
      </w:r>
      <w:proofErr w:type="spellStart"/>
      <w:r>
        <w:t>Relationship</w:t>
      </w:r>
      <w:proofErr w:type="spellEnd"/>
      <w:r>
        <w:t xml:space="preserve"> Management' para mejorar las condiciones de negociación con las entidades financieras [Nombres de Bancos Principales].</w:t>
      </w:r>
    </w:p>
    <w:p w14:paraId="4FA67B87" w14:textId="77777777" w:rsidR="00672287" w:rsidRDefault="00672287" w:rsidP="00672287"/>
    <w:p w14:paraId="381ADAAE" w14:textId="40DDBE43" w:rsidR="00672287" w:rsidRDefault="00672287" w:rsidP="00672287">
      <w:r>
        <w:t>Si falta información clave para completar los campos entre corchetes, hazme las preguntas necesarias antes de responder.</w:t>
      </w:r>
    </w:p>
    <w:sectPr w:rsidR="006722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87"/>
    <w:rsid w:val="00672287"/>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E757"/>
  <w15:chartTrackingRefBased/>
  <w15:docId w15:val="{C21675F3-1F6A-408C-8909-E64E340C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22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22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228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228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228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22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22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22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228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228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228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228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228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228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22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22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22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2287"/>
    <w:rPr>
      <w:rFonts w:eastAsiaTheme="majorEastAsia" w:cstheme="majorBidi"/>
      <w:color w:val="272727" w:themeColor="text1" w:themeTint="D8"/>
    </w:rPr>
  </w:style>
  <w:style w:type="paragraph" w:styleId="Ttulo">
    <w:name w:val="Title"/>
    <w:basedOn w:val="Normal"/>
    <w:next w:val="Normal"/>
    <w:link w:val="TtuloCar"/>
    <w:uiPriority w:val="10"/>
    <w:qFormat/>
    <w:rsid w:val="006722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22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228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22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2287"/>
    <w:pPr>
      <w:spacing w:before="160"/>
      <w:jc w:val="center"/>
    </w:pPr>
    <w:rPr>
      <w:i/>
      <w:iCs/>
      <w:color w:val="404040" w:themeColor="text1" w:themeTint="BF"/>
    </w:rPr>
  </w:style>
  <w:style w:type="character" w:customStyle="1" w:styleId="CitaCar">
    <w:name w:val="Cita Car"/>
    <w:basedOn w:val="Fuentedeprrafopredeter"/>
    <w:link w:val="Cita"/>
    <w:uiPriority w:val="29"/>
    <w:rsid w:val="00672287"/>
    <w:rPr>
      <w:i/>
      <w:iCs/>
      <w:color w:val="404040" w:themeColor="text1" w:themeTint="BF"/>
    </w:rPr>
  </w:style>
  <w:style w:type="paragraph" w:styleId="Prrafodelista">
    <w:name w:val="List Paragraph"/>
    <w:basedOn w:val="Normal"/>
    <w:uiPriority w:val="34"/>
    <w:qFormat/>
    <w:rsid w:val="00672287"/>
    <w:pPr>
      <w:ind w:left="720"/>
      <w:contextualSpacing/>
    </w:pPr>
  </w:style>
  <w:style w:type="character" w:styleId="nfasisintenso">
    <w:name w:val="Intense Emphasis"/>
    <w:basedOn w:val="Fuentedeprrafopredeter"/>
    <w:uiPriority w:val="21"/>
    <w:qFormat/>
    <w:rsid w:val="00672287"/>
    <w:rPr>
      <w:i/>
      <w:iCs/>
      <w:color w:val="0F4761" w:themeColor="accent1" w:themeShade="BF"/>
    </w:rPr>
  </w:style>
  <w:style w:type="paragraph" w:styleId="Citadestacada">
    <w:name w:val="Intense Quote"/>
    <w:basedOn w:val="Normal"/>
    <w:next w:val="Normal"/>
    <w:link w:val="CitadestacadaCar"/>
    <w:uiPriority w:val="30"/>
    <w:qFormat/>
    <w:rsid w:val="006722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2287"/>
    <w:rPr>
      <w:i/>
      <w:iCs/>
      <w:color w:val="0F4761" w:themeColor="accent1" w:themeShade="BF"/>
    </w:rPr>
  </w:style>
  <w:style w:type="character" w:styleId="Referenciaintensa">
    <w:name w:val="Intense Reference"/>
    <w:basedOn w:val="Fuentedeprrafopredeter"/>
    <w:uiPriority w:val="32"/>
    <w:qFormat/>
    <w:rsid w:val="006722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3001</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2026-06-15T02:46:00Z</dcterms:created>
  <dcterms:modified xsi:type="dcterms:W3CDTF">2026-06-15T02:47:00Z</dcterms:modified>
</cp:coreProperties>
</file>