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0C687" w14:textId="77777777" w:rsidR="00471AED" w:rsidRDefault="00471AED">
      <w:r w:rsidRPr="00471AED">
        <w:t xml:space="preserve">- Complete todos los campos entre corchetes </w:t>
      </w:r>
      <w:proofErr w:type="gramStart"/>
      <w:r w:rsidRPr="00471AED">
        <w:t>[ ]</w:t>
      </w:r>
      <w:proofErr w:type="gramEnd"/>
      <w:r w:rsidRPr="00471AED">
        <w:t xml:space="preserve"> con la información contable y de mercado correspondiente antes de ejecutar el </w:t>
      </w:r>
      <w:proofErr w:type="spellStart"/>
      <w:r w:rsidRPr="00471AED">
        <w:t>prompt</w:t>
      </w:r>
      <w:proofErr w:type="spellEnd"/>
      <w:r w:rsidRPr="00471AED">
        <w:t xml:space="preserve">. </w:t>
      </w:r>
    </w:p>
    <w:p w14:paraId="7704D598" w14:textId="77777777" w:rsidR="00471AED" w:rsidRDefault="00471AED">
      <w:r w:rsidRPr="00471AED">
        <w:t xml:space="preserve">- Asegúrese de contar con el Balance General y el Estado de Resultados más reciente para proporcionar datos precisos sobre la deuda y el EBITDA. </w:t>
      </w:r>
    </w:p>
    <w:p w14:paraId="370B7977" w14:textId="77777777" w:rsidR="00471AED" w:rsidRDefault="00471AED">
      <w:r w:rsidRPr="00471AED">
        <w:t xml:space="preserve">- Si no conoce el Beta del sector, solicite a la IA que realice una búsqueda o estimación basada en empresas comparables cotizadas. </w:t>
      </w:r>
    </w:p>
    <w:p w14:paraId="766167EE" w14:textId="77777777" w:rsidR="00471AED" w:rsidRDefault="00471AED">
      <w:r w:rsidRPr="00471AED">
        <w:t xml:space="preserve">- El resultado debe ser interpretado como un marco de decisión estratégica y no como una asesoría legal o fiscal definitiva. </w:t>
      </w:r>
    </w:p>
    <w:p w14:paraId="0A7551F8" w14:textId="4E3F886C" w:rsidR="009A2238" w:rsidRDefault="00471AED">
      <w:r w:rsidRPr="00471AED">
        <w:t>- Puede pedir a la IA que desglose los cálculos paso a paso para verificar la metodología del WACC.</w:t>
      </w:r>
    </w:p>
    <w:p w14:paraId="676FE521" w14:textId="77777777" w:rsidR="00471AED" w:rsidRDefault="00471AED">
      <w:pPr>
        <w:pBdr>
          <w:bottom w:val="single" w:sz="6" w:space="1" w:color="auto"/>
        </w:pBdr>
      </w:pPr>
    </w:p>
    <w:p w14:paraId="4D5B118C" w14:textId="77777777" w:rsidR="00471AED" w:rsidRDefault="00471AED"/>
    <w:p w14:paraId="266C59DE" w14:textId="4B5757BB" w:rsidR="00471AED" w:rsidRDefault="00471AED">
      <w:proofErr w:type="spellStart"/>
      <w:r>
        <w:t>Prompt</w:t>
      </w:r>
      <w:proofErr w:type="spellEnd"/>
      <w:r>
        <w:t>:</w:t>
      </w:r>
    </w:p>
    <w:p w14:paraId="14D4FC26" w14:textId="77777777" w:rsidR="00471AED" w:rsidRDefault="00471AED"/>
    <w:p w14:paraId="7E61EFB0" w14:textId="77777777" w:rsidR="00471AED" w:rsidRDefault="00471AED" w:rsidP="00471AED">
      <w:r>
        <w:t>Actúa como un Consultor Estratégico Senior especializado en Finanzas Corporativas y Estructura de Capital. Tu misión es asesorar a la alta dirección de [Nombre de la Empresa], una organización operando en el sector de [Sector de la Industria], sobre la configuración óptima de sus fuentes de financiamiento para minimizar el Costo Promedio Ponderado de Capital (WACC) y maximizar el valor de mercado de la firma.</w:t>
      </w:r>
    </w:p>
    <w:p w14:paraId="0E3527FB" w14:textId="77777777" w:rsidR="00471AED" w:rsidRDefault="00471AED" w:rsidP="00471AED"/>
    <w:p w14:paraId="284B712C" w14:textId="77777777" w:rsidR="00471AED" w:rsidRDefault="00471AED" w:rsidP="00471AED"/>
    <w:p w14:paraId="7141662B" w14:textId="77777777" w:rsidR="00471AED" w:rsidRDefault="00471AED" w:rsidP="00471AED">
      <w:r>
        <w:t>Para iniciar el análisis, debes evaluar la situación financiera actual basándote en los siguientes datos proporcionados: [Monto Total de Deuda Financiera], [Valor de Mercado del Patrimonio Neto], [Tasa de Interés Nominal de la Deuda (</w:t>
      </w:r>
      <w:proofErr w:type="spellStart"/>
      <w:r>
        <w:t>Kd</w:t>
      </w:r>
      <w:proofErr w:type="spellEnd"/>
      <w:r>
        <w:t xml:space="preserve">)], y la [Tasa Impositiva Corporativa] vigente en la jurisdicción. Utiliza el modelo CAPM (Capital </w:t>
      </w:r>
      <w:proofErr w:type="spellStart"/>
      <w:r>
        <w:t>Asset</w:t>
      </w:r>
      <w:proofErr w:type="spellEnd"/>
      <w:r>
        <w:t xml:space="preserve"> </w:t>
      </w:r>
      <w:proofErr w:type="spellStart"/>
      <w:r>
        <w:t>Pricing</w:t>
      </w:r>
      <w:proofErr w:type="spellEnd"/>
      <w:r>
        <w:t xml:space="preserve"> Model) para calcular el costo del capital propio (Ke), considerando una [Tasa Libre de Riesgo (Rf)], un [Beta </w:t>
      </w:r>
      <w:proofErr w:type="spellStart"/>
      <w:r>
        <w:t>Desapalancado</w:t>
      </w:r>
      <w:proofErr w:type="spellEnd"/>
      <w:r>
        <w:t xml:space="preserve"> del Sector] de [Valor del Beta], y una [Prima de Riesgo de Mercado (</w:t>
      </w:r>
      <w:proofErr w:type="spellStart"/>
      <w:r>
        <w:t>Rm</w:t>
      </w:r>
      <w:proofErr w:type="spellEnd"/>
      <w:r>
        <w:t>-Rf)] estimada para el periodo actual.</w:t>
      </w:r>
    </w:p>
    <w:p w14:paraId="74F980DF" w14:textId="77777777" w:rsidR="00471AED" w:rsidRDefault="00471AED" w:rsidP="00471AED"/>
    <w:p w14:paraId="22D1D197" w14:textId="77777777" w:rsidR="00471AED" w:rsidRDefault="00471AED" w:rsidP="00471AED"/>
    <w:p w14:paraId="66625AF4" w14:textId="77777777" w:rsidR="00471AED" w:rsidRDefault="00471AED" w:rsidP="00471AED">
      <w:r>
        <w:t xml:space="preserve">Desarrolla una simulación cuantitativa de diferentes escenarios de apalancamiento (por ejemplo: 20/80, 40/60, y 60/40 de ratio deuda/capital). Para </w:t>
      </w:r>
      <w:r>
        <w:lastRenderedPageBreak/>
        <w:t>cada escenario, calcula el impacto directo en el WACC, teniendo en cuenta que a medida que aumenta el nivel de endeudamiento, el riesgo financiero percibido incrementa el costo marginal de la deuda y el Ke. Analiza profundamente el efecto del 'escudo fiscal' (Tax Shield) generado por la deducibilidad de los intereses y cómo este contribuye al valor presente de la empresa siguiendo las teorías de Modigliani-Miller.</w:t>
      </w:r>
    </w:p>
    <w:p w14:paraId="66483F52" w14:textId="77777777" w:rsidR="00471AED" w:rsidRDefault="00471AED" w:rsidP="00471AED"/>
    <w:p w14:paraId="7CB21037" w14:textId="77777777" w:rsidR="00471AED" w:rsidRDefault="00471AED" w:rsidP="00471AED"/>
    <w:p w14:paraId="56250F9B" w14:textId="77777777" w:rsidR="00471AED" w:rsidRDefault="00471AED" w:rsidP="00471AED">
      <w:r>
        <w:t>Proporciona una recomendación estratégica detallada sobre si la organización debe ejecutar una recapitalización, una recompra de acciones financiada con deuda, o una emisión de capital primario para alcanzar su estructura de capital objetivo. Incluye un análisis de sensibilidad que demuestre cómo variaciones en el [EBITDA Proyectado] o en las tasas de interés del mercado afectarían la capacidad de servicio de la deuda (DSCR) y la calificación crediticia implícita de la entidad.</w:t>
      </w:r>
    </w:p>
    <w:p w14:paraId="66D49070" w14:textId="77777777" w:rsidR="00471AED" w:rsidRDefault="00471AED" w:rsidP="00471AED"/>
    <w:p w14:paraId="03B5FE72" w14:textId="77777777" w:rsidR="00471AED" w:rsidRDefault="00471AED" w:rsidP="00471AED"/>
    <w:p w14:paraId="77EF0226" w14:textId="77777777" w:rsidR="00471AED" w:rsidRDefault="00471AED" w:rsidP="00471AED">
      <w:r>
        <w:t xml:space="preserve">Finalmente, genera un informe ejecutivo profesional que resuma los hallazgos clave, identifique los riesgos financieros críticos asociados a la estructura propuesta (como el riesgo de refinanciación o </w:t>
      </w:r>
      <w:proofErr w:type="spellStart"/>
      <w:r>
        <w:t>convenants</w:t>
      </w:r>
      <w:proofErr w:type="spellEnd"/>
      <w:r>
        <w:t xml:space="preserve"> bancarios) y defina una hoja de ruta táctica para la transición hacia el </w:t>
      </w:r>
      <w:proofErr w:type="spellStart"/>
      <w:r>
        <w:t>mix</w:t>
      </w:r>
      <w:proofErr w:type="spellEnd"/>
      <w:r>
        <w:t xml:space="preserve"> de financiamiento que maximice la riqueza de los accionistas.</w:t>
      </w:r>
    </w:p>
    <w:p w14:paraId="2732687D" w14:textId="77777777" w:rsidR="00471AED" w:rsidRDefault="00471AED" w:rsidP="00471AED"/>
    <w:p w14:paraId="0D69E6CA" w14:textId="53DF407A" w:rsidR="00471AED" w:rsidRDefault="00471AED" w:rsidP="00471AED">
      <w:r>
        <w:t>Si falta información clave para completar los campos entre corchetes, hazme las preguntas necesarias antes de responder.</w:t>
      </w:r>
    </w:p>
    <w:sectPr w:rsidR="00471A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ED"/>
    <w:rsid w:val="00471AED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9C7B3"/>
  <w15:chartTrackingRefBased/>
  <w15:docId w15:val="{F66EE29C-D0E5-4266-959C-F9E3EF07D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71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1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71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71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71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71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71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71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71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1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1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71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71A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71A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71A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71A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71A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71A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71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71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71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71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71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71A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71A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71A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71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71A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71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2026-06-15T02:50:00Z</dcterms:created>
  <dcterms:modified xsi:type="dcterms:W3CDTF">2026-06-15T02:51:00Z</dcterms:modified>
</cp:coreProperties>
</file>